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BD1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 </w:t>
      </w:r>
      <w:proofErr w:type="spellStart"/>
      <w:r w:rsidR="00BD1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27DB" w:rsidRDefault="00680DA5" w:rsidP="00BD1AA2">
      <w:pPr>
        <w:jc w:val="both"/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7DB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второй или третьей категории надежности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A027DB" w:rsidRPr="00A027DB">
        <w:rPr>
          <w:rFonts w:ascii="Times New Roman" w:hAnsi="Times New Roman" w:cs="Times New Roman"/>
          <w:b/>
          <w:sz w:val="24"/>
          <w:szCs w:val="24"/>
        </w:rPr>
        <w:t>до 150 кВт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A027DB">
        <w:rPr>
          <w:rFonts w:ascii="Times New Roman" w:hAnsi="Times New Roman" w:cs="Times New Roman"/>
          <w:sz w:val="24"/>
          <w:szCs w:val="24"/>
        </w:rPr>
        <w:t>.</w:t>
      </w:r>
    </w:p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A027DB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Юридическое лицо или индивидуальный предприниматель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BD1AA2">
        <w:rPr>
          <w:rFonts w:ascii="Times New Roman" w:hAnsi="Times New Roman" w:cs="Times New Roman"/>
          <w:sz w:val="24"/>
          <w:szCs w:val="24"/>
        </w:rPr>
        <w:t xml:space="preserve">– Департаментом ценового и тарифного регулирования Самарской </w:t>
      </w:r>
      <w:r w:rsidR="00BD1AA2" w:rsidRPr="00DF4D2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D1AA2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(Приказ №849 от 28.11.2022 г.).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</w:t>
      </w:r>
      <w:r w:rsidR="0082785C">
        <w:rPr>
          <w:rFonts w:ascii="Times New Roman" w:hAnsi="Times New Roman" w:cs="Times New Roman"/>
          <w:sz w:val="24"/>
          <w:szCs w:val="24"/>
        </w:rPr>
        <w:t xml:space="preserve">ание данной услуги приведено </w:t>
      </w:r>
      <w:proofErr w:type="gramStart"/>
      <w:r w:rsidR="0082785C">
        <w:rPr>
          <w:rFonts w:ascii="Times New Roman" w:hAnsi="Times New Roman" w:cs="Times New Roman"/>
          <w:sz w:val="24"/>
          <w:szCs w:val="24"/>
        </w:rPr>
        <w:t xml:space="preserve">в 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</w:t>
      </w:r>
      <w:proofErr w:type="gramEnd"/>
      <w:r w:rsidRPr="003F7185">
        <w:rPr>
          <w:rFonts w:ascii="Times New Roman" w:hAnsi="Times New Roman" w:cs="Times New Roman"/>
          <w:sz w:val="24"/>
          <w:szCs w:val="24"/>
        </w:rPr>
        <w:t xml:space="preserve"> паспорте услуги (процесса) </w:t>
      </w:r>
      <w:r w:rsidR="00F45A3C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 w:rsidR="00F45A3C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F45A3C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F45A3C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F45A3C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BD1AA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F45A3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F45A3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направляет  в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срок 1 экземпляр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в адрес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мотивированного отказа от подписания проекта договора с предложением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об  изменении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F45A3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Выполнение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заявителем в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F45A3C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F45A3C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Акт об осуществлении </w:t>
            </w:r>
            <w:proofErr w:type="gramStart"/>
            <w:r w:rsidRPr="00050B15">
              <w:rPr>
                <w:rFonts w:ascii="Times New Roman" w:hAnsi="Times New Roman" w:cs="Times New Roman"/>
              </w:rPr>
              <w:t>ТП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</w:t>
            </w:r>
            <w:r w:rsidR="00F45A3C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копии подписанного </w:t>
            </w:r>
            <w:proofErr w:type="gramStart"/>
            <w:r w:rsidRPr="00050B15">
              <w:rPr>
                <w:rFonts w:ascii="Times New Roman" w:hAnsi="Times New Roman" w:cs="Times New Roman"/>
              </w:rPr>
              <w:t>акта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F45A3C" w:rsidP="00F45A3C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sz w:val="24"/>
          <w:szCs w:val="24"/>
          <w:u w:val="single"/>
        </w:rPr>
        <w:t>Контактный телефон</w:t>
      </w:r>
      <w:r w:rsidRPr="00B37A54">
        <w:rPr>
          <w:sz w:val="24"/>
          <w:szCs w:val="24"/>
          <w:u w:val="single"/>
          <w:lang w:val="en-US"/>
        </w:rPr>
        <w:t xml:space="preserve">: </w:t>
      </w:r>
      <w:hyperlink r:id="rId7" w:history="1">
        <w:r w:rsidRPr="00DF4D23">
          <w:rPr>
            <w:rFonts w:ascii="Segoe UI" w:hAnsi="Segoe UI" w:cs="Segoe UI"/>
            <w:color w:val="000000"/>
            <w:u w:val="single"/>
          </w:rPr>
          <w:t>8-800-55-14-507</w:t>
        </w:r>
      </w:hyperlink>
      <w:bookmarkStart w:id="0" w:name="_GoBack"/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60A24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F665E"/>
    <w:rsid w:val="00756B11"/>
    <w:rsid w:val="0076113F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1AA2"/>
    <w:rsid w:val="00BD27F0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  <w:rsid w:val="00F45A3C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14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EB2-C114-4926-A052-160C5FE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5</cp:revision>
  <dcterms:created xsi:type="dcterms:W3CDTF">2021-03-01T14:20:00Z</dcterms:created>
  <dcterms:modified xsi:type="dcterms:W3CDTF">2023-02-25T10:25:00Z</dcterms:modified>
</cp:coreProperties>
</file>