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09" w:rsidRPr="00284B09" w:rsidRDefault="00284B09" w:rsidP="00284B09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09">
        <w:rPr>
          <w:rFonts w:ascii="Times New Roman" w:hAnsi="Times New Roman" w:cs="Times New Roman"/>
          <w:color w:val="000000" w:themeColor="text1"/>
          <w:sz w:val="24"/>
          <w:szCs w:val="24"/>
        </w:rPr>
        <w:t>Для заключен</w:t>
      </w:r>
      <w:bookmarkStart w:id="0" w:name="_GoBack"/>
      <w:bookmarkEnd w:id="0"/>
      <w:r w:rsidRPr="0028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заявителя. Если на расстоянии менее 300 метров (или менее 500 метров в сельской местности) от границ участка заявителя находятся объекты нескольких сетевых организаций, заявитель вправе направить заявку в любую из них. Эти положения не распространяются на заявителей, имеющих намерения осуществить технологическое присоединение </w:t>
      </w:r>
      <w:proofErr w:type="spellStart"/>
      <w:r w:rsidRPr="00284B09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28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по индивидуальному проекту.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 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до границы участка (нахождения присоединяемых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устройств) заявителя до ближайшего объекта электрической сети (опора ЛЭП, распределительное устройство, подстанция), имеющего класс напряжения, указанный в заявке, существующего или планируемого к вводу в эксплуатацию в соответствии с инвестиционной программой сетевой организации, утвержденной в установленном порядке.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 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Под границей участка заявителя при технологическом присоединении устройств, находящихся в нежилых помещениях многоквартирных домов, понимается граница балансовой принадлежности, определенная актом разграничения балансовой принадлежности между сетевой организацией и соответствующим многоквартирным домом, а при его отсутствии (если соглашением сторон не предусмотрено иное) –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устройством, установленным на вводе питающей линии в соответствующее здание или его обособленную часть.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 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Под границей участка заявителя при технологическом присоединении устройств, находящихся в нежилых помещениях иных объектов капитального строительства,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284B09">
        <w:rPr>
          <w:color w:val="000000" w:themeColor="text1"/>
        </w:rPr>
        <w:t>энергопринимающие</w:t>
      </w:r>
      <w:proofErr w:type="spellEnd"/>
      <w:r w:rsidRPr="00284B09">
        <w:rPr>
          <w:color w:val="000000" w:themeColor="text1"/>
        </w:rPr>
        <w:t xml:space="preserve"> устройства заявителя.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Подача в отношении одних и тех же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 одновременно 2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 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В случае направления заявителем (физическим лицом в целях присоединения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284B09">
        <w:rPr>
          <w:color w:val="000000" w:themeColor="text1"/>
        </w:rPr>
        <w:lastRenderedPageBreak/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источнику), юридическим лицом или индивидуальным предпринимателем в целях присоединения по одному источнику электроснабжения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устройств, максимальная мощность которых составляет до 150 кВт (с учетом ранее присоединенных в данной точке присоединения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устройств) 2 и более заявок в разные сетевые организации при технологическом присоединении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электроснабжения, заявитель в течение 3 рабочих дней с даты направления этих заявок обязан уведомить об этом такие сетевые организации.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В случае технологического присоединения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В случае технологического присоединения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устройств, находящихся в жилых помещениях, в том числе расположенных в многоквартирных домах, заявка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(ТСЖ, жилищным кооперативом или иным специализированным потребительским кооперативом) по решению общего собрания собственников жилых помещений, в том числе в многоквартирном доме, а при непосредственном управлении многоквартирным домом –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 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 xml:space="preserve">Для заключения договора об осуществлении технологического присоединения </w:t>
      </w:r>
      <w:proofErr w:type="spellStart"/>
      <w:r w:rsidRPr="00284B09">
        <w:rPr>
          <w:color w:val="000000" w:themeColor="text1"/>
        </w:rPr>
        <w:t>энергопринимающих</w:t>
      </w:r>
      <w:proofErr w:type="spellEnd"/>
      <w:r w:rsidRPr="00284B09">
        <w:rPr>
          <w:color w:val="000000" w:themeColor="text1"/>
        </w:rPr>
        <w:t xml:space="preserve"> устройств потребителей к электрическим сетям необходимо: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Подать заявку на технологическое присоединение к электрическим сетям.</w:t>
      </w:r>
    </w:p>
    <w:p w:rsidR="00284B09" w:rsidRPr="00284B09" w:rsidRDefault="00284B09" w:rsidP="00284B0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000000" w:themeColor="text1"/>
        </w:rPr>
      </w:pPr>
      <w:r w:rsidRPr="00284B09">
        <w:rPr>
          <w:color w:val="000000" w:themeColor="text1"/>
        </w:rPr>
        <w:t>Предоставить предусмотренные действующими Правилами документы для заключения договора об осуществлении технологического присоединения.</w:t>
      </w:r>
    </w:p>
    <w:p w:rsidR="00457534" w:rsidRPr="00284B09" w:rsidRDefault="00457534" w:rsidP="00284B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7534" w:rsidRPr="002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49"/>
    <w:rsid w:val="00284B09"/>
    <w:rsid w:val="00446549"/>
    <w:rsid w:val="004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CCE9-4A13-4AF0-87AE-C740D37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2019-02-04T11:19:00Z</dcterms:created>
  <dcterms:modified xsi:type="dcterms:W3CDTF">2019-02-04T11:22:00Z</dcterms:modified>
</cp:coreProperties>
</file>